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302" w:afterAutospacing="0" w:line="450" w:lineRule="atLeast"/>
        <w:ind w:left="0" w:right="0"/>
        <w:jc w:val="center"/>
        <w:rPr>
          <w:rFonts w:hint="eastAsia" w:asciiTheme="majorEastAsia" w:hAnsiTheme="majorEastAsia" w:eastAsiaTheme="majorEastAsia" w:cstheme="majorEastAsia"/>
          <w:color w:val="444444"/>
          <w:sz w:val="28"/>
          <w:szCs w:val="28"/>
        </w:rPr>
      </w:pPr>
      <w:r>
        <w:rPr>
          <w:rStyle w:val="4"/>
          <w:rFonts w:hint="eastAsia" w:ascii="宋体" w:hAnsi="宋体" w:eastAsia="宋体" w:cs="宋体"/>
          <w:b/>
          <w:i w:val="0"/>
          <w:color w:val="444444"/>
          <w:sz w:val="28"/>
          <w:szCs w:val="28"/>
        </w:rPr>
        <w:t>　</w:t>
      </w:r>
      <w:r>
        <w:rPr>
          <w:rStyle w:val="4"/>
          <w:rFonts w:hint="eastAsia" w:asciiTheme="majorEastAsia" w:hAnsiTheme="majorEastAsia" w:eastAsiaTheme="majorEastAsia" w:cstheme="majorEastAsia"/>
          <w:b/>
          <w:i w:val="0"/>
          <w:color w:val="444444"/>
          <w:sz w:val="28"/>
          <w:szCs w:val="28"/>
        </w:rPr>
        <w:t>　中国共</w:t>
      </w:r>
      <w:bookmarkStart w:id="0" w:name="_GoBack"/>
      <w:bookmarkEnd w:id="0"/>
      <w:r>
        <w:rPr>
          <w:rStyle w:val="4"/>
          <w:rFonts w:hint="eastAsia" w:asciiTheme="majorEastAsia" w:hAnsiTheme="majorEastAsia" w:eastAsiaTheme="majorEastAsia" w:cstheme="majorEastAsia"/>
          <w:b/>
          <w:i w:val="0"/>
          <w:color w:val="444444"/>
          <w:sz w:val="28"/>
          <w:szCs w:val="28"/>
        </w:rPr>
        <w:t>产党问责条例</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第一条 为全面从严治党，规范和强化党的问责工作，根据《中国共产党章程》，制定本条例。</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第三条 党的问责工作应当坚持的原则：依规依纪、实事求是，失责必问、问责必严，惩前毖后、治病救人，分级负责、层层落实责任。</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第四条 党的问责工作是由党组织按照职责权限，追究在党的建设和党的事业中失职失责党组织和党的领导干部的主体责任、监督责任和领导责任。</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问责对象是各级党委(党组)、党的工作部门及其领导成员，各级纪委(纪检组)及其领导成员，重点是主要负责人。</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第五条 问责应当分清责任。党组织领导班子在职责范围内负有全面领导责任，领导班子主要负责人和直接主管的班子成员承担主要领导责任，参与决策和工作的班子其他成员承担重要领导责任。</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第六条 党组织和党的领导干部违反党章和其他党内法规，不履行或者不正确履行职责，有下列情形之一的，应当予以问责：</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(五)推进党风廉政建设和反腐败工作不坚决、不扎实，管辖范围内腐败蔓延势头没有得到有效遏制，损害群众利益的不正之风和腐败问题突出的;</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(六)其他应当问责的失职失责情形。</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第七条 对党组织的问责方式包括：</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(一)检查。对履行职责不力、情节较轻的，应当责令其作出书面检查并切实整改。</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(二)通报。对履行职责不力、情节较重的，应当责令整改，并在一定范围内通报。</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(三)改组。对失职失责，严重违反党的纪律、本身又不能纠正的，应当予以改组。</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对党的领导干部的问责方式包括：</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(一)通报。对履行职责不力的，应当严肃批评，依规整改，并在一定范围内通报。</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(二)诫勉。对失职失责、情节较轻的，应当以谈话或者书面方式进行诫勉。</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(三)组织调整或者组织处理。对失职失责、情节较重，不适宜担任现职的，应当根据情况采取停职检查、调整职务、责令辞职、降职、免职等措施。</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(四)纪律处分。对失职失责应当给予纪律处分的，依照《中国共产党纪律处分条例》追究纪律责任。</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上述问责方式，可以单独使用，也可以合并使用。</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第九条 问责决定作出后，应当及时向被问责党组织或者党的领导干部及其所在党组织宣布并督促执行。有关问责情况应当向组织部门通报，组织部门应当将问责决定材料归入被问责领导干部个人</w:t>
      </w:r>
      <w:r>
        <w:rPr>
          <w:rFonts w:hint="eastAsia" w:asciiTheme="majorEastAsia" w:hAnsiTheme="majorEastAsia" w:eastAsiaTheme="majorEastAsia" w:cstheme="majorEastAsia"/>
          <w:color w:val="3665C3"/>
          <w:sz w:val="28"/>
          <w:szCs w:val="28"/>
          <w:u w:val="none"/>
        </w:rPr>
        <w:fldChar w:fldCharType="begin"/>
      </w:r>
      <w:r>
        <w:rPr>
          <w:rFonts w:hint="eastAsia" w:asciiTheme="majorEastAsia" w:hAnsiTheme="majorEastAsia" w:eastAsiaTheme="majorEastAsia" w:cstheme="majorEastAsia"/>
          <w:color w:val="3665C3"/>
          <w:sz w:val="28"/>
          <w:szCs w:val="28"/>
          <w:u w:val="none"/>
        </w:rPr>
        <w:instrText xml:space="preserve"> HYPERLINK "http://yjbys.com/dangan/" \t "http://yjbys.com/jiuyezhidao/news/_blank" </w:instrText>
      </w:r>
      <w:r>
        <w:rPr>
          <w:rFonts w:hint="eastAsia" w:asciiTheme="majorEastAsia" w:hAnsiTheme="majorEastAsia" w:eastAsiaTheme="majorEastAsia" w:cstheme="majorEastAsia"/>
          <w:color w:val="3665C3"/>
          <w:sz w:val="28"/>
          <w:szCs w:val="28"/>
          <w:u w:val="none"/>
        </w:rPr>
        <w:fldChar w:fldCharType="separate"/>
      </w:r>
      <w:r>
        <w:rPr>
          <w:rStyle w:val="9"/>
          <w:rFonts w:hint="eastAsia" w:asciiTheme="majorEastAsia" w:hAnsiTheme="majorEastAsia" w:eastAsiaTheme="majorEastAsia" w:cstheme="majorEastAsia"/>
          <w:color w:val="3665C3"/>
          <w:sz w:val="28"/>
          <w:szCs w:val="28"/>
          <w:u w:val="single"/>
        </w:rPr>
        <w:t>档案</w:t>
      </w:r>
      <w:r>
        <w:rPr>
          <w:rFonts w:hint="eastAsia" w:asciiTheme="majorEastAsia" w:hAnsiTheme="majorEastAsia" w:eastAsiaTheme="majorEastAsia" w:cstheme="majorEastAsia"/>
          <w:color w:val="3665C3"/>
          <w:sz w:val="28"/>
          <w:szCs w:val="28"/>
          <w:u w:val="none"/>
        </w:rPr>
        <w:fldChar w:fldCharType="end"/>
      </w:r>
      <w:r>
        <w:rPr>
          <w:rFonts w:hint="eastAsia" w:asciiTheme="majorEastAsia" w:hAnsiTheme="majorEastAsia" w:eastAsiaTheme="majorEastAsia" w:cstheme="majorEastAsia"/>
          <w:color w:val="444444"/>
          <w:sz w:val="28"/>
          <w:szCs w:val="28"/>
        </w:rPr>
        <w:t>，并报上一级组织部门备案;涉及组织调整或者组织处理的，应当在一个月内办理完毕相应手续。</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受到问责的党的领导干部应当向问责决定机关写出书面检讨，并在民主生活会或者其他党的会议上作出深刻检查。建立健全问责典型问题通报曝光</w:t>
      </w:r>
      <w:r>
        <w:rPr>
          <w:rFonts w:hint="eastAsia" w:asciiTheme="majorEastAsia" w:hAnsiTheme="majorEastAsia" w:eastAsiaTheme="majorEastAsia" w:cstheme="majorEastAsia"/>
          <w:color w:val="3665C3"/>
          <w:sz w:val="28"/>
          <w:szCs w:val="28"/>
          <w:u w:val="none"/>
        </w:rPr>
        <w:fldChar w:fldCharType="begin"/>
      </w:r>
      <w:r>
        <w:rPr>
          <w:rFonts w:hint="eastAsia" w:asciiTheme="majorEastAsia" w:hAnsiTheme="majorEastAsia" w:eastAsiaTheme="majorEastAsia" w:cstheme="majorEastAsia"/>
          <w:color w:val="3665C3"/>
          <w:sz w:val="28"/>
          <w:szCs w:val="28"/>
          <w:u w:val="none"/>
        </w:rPr>
        <w:instrText xml:space="preserve"> HYPERLINK "http://yjbys.com/zhidu/" \t "http://yjbys.com/jiuyezhidao/news/_blank" </w:instrText>
      </w:r>
      <w:r>
        <w:rPr>
          <w:rFonts w:hint="eastAsia" w:asciiTheme="majorEastAsia" w:hAnsiTheme="majorEastAsia" w:eastAsiaTheme="majorEastAsia" w:cstheme="majorEastAsia"/>
          <w:color w:val="3665C3"/>
          <w:sz w:val="28"/>
          <w:szCs w:val="28"/>
          <w:u w:val="none"/>
        </w:rPr>
        <w:fldChar w:fldCharType="separate"/>
      </w:r>
      <w:r>
        <w:rPr>
          <w:rStyle w:val="9"/>
          <w:rFonts w:hint="eastAsia" w:asciiTheme="majorEastAsia" w:hAnsiTheme="majorEastAsia" w:eastAsiaTheme="majorEastAsia" w:cstheme="majorEastAsia"/>
          <w:color w:val="3665C3"/>
          <w:sz w:val="28"/>
          <w:szCs w:val="28"/>
          <w:u w:val="single"/>
        </w:rPr>
        <w:t>制度</w:t>
      </w:r>
      <w:r>
        <w:rPr>
          <w:rFonts w:hint="eastAsia" w:asciiTheme="majorEastAsia" w:hAnsiTheme="majorEastAsia" w:eastAsiaTheme="majorEastAsia" w:cstheme="majorEastAsia"/>
          <w:color w:val="3665C3"/>
          <w:sz w:val="28"/>
          <w:szCs w:val="28"/>
          <w:u w:val="none"/>
        </w:rPr>
        <w:fldChar w:fldCharType="end"/>
      </w:r>
      <w:r>
        <w:rPr>
          <w:rFonts w:hint="eastAsia" w:asciiTheme="majorEastAsia" w:hAnsiTheme="majorEastAsia" w:eastAsiaTheme="majorEastAsia" w:cstheme="majorEastAsia"/>
          <w:color w:val="444444"/>
          <w:sz w:val="28"/>
          <w:szCs w:val="28"/>
        </w:rPr>
        <w:t>，采取组织调整或者组织处理、纪律处分方式问责的，一般应当向社会公开。</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第十条 实行终身问责，对失职失责性质恶劣、后果严重的，不论其责任人是否调离转岗、提拔或者退休，都应当严肃问责。</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第十一条 各省、自治区、直辖市党委，中央各部委，中央国家机关各部委党组(党委)，可以根据本条例制定实施办法。</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中央军事委员会可以根据本条例制定相关规定。</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第十二条 本条例由中央纪律检查委员会负责解释。</w:t>
      </w:r>
    </w:p>
    <w:p>
      <w:pPr>
        <w:pStyle w:val="2"/>
        <w:keepNext w:val="0"/>
        <w:keepLines w:val="0"/>
        <w:widowControl/>
        <w:suppressLineNumbers w:val="0"/>
        <w:spacing w:before="226" w:beforeAutospacing="0" w:after="302" w:afterAutospacing="0" w:line="450" w:lineRule="atLeast"/>
        <w:ind w:left="0" w:right="0"/>
        <w:jc w:val="left"/>
        <w:rPr>
          <w:rFonts w:hint="eastAsia" w:asciiTheme="majorEastAsia" w:hAnsiTheme="majorEastAsia" w:eastAsiaTheme="majorEastAsia" w:cstheme="majorEastAsia"/>
          <w:color w:val="444444"/>
          <w:sz w:val="28"/>
          <w:szCs w:val="28"/>
        </w:rPr>
      </w:pPr>
      <w:r>
        <w:rPr>
          <w:rFonts w:hint="eastAsia" w:asciiTheme="majorEastAsia" w:hAnsiTheme="majorEastAsia" w:eastAsiaTheme="majorEastAsia" w:cstheme="majorEastAsia"/>
          <w:color w:val="444444"/>
          <w:sz w:val="28"/>
          <w:szCs w:val="28"/>
        </w:rPr>
        <w:t>　　第十三条 本条例自2016年7月8日起施行。此前发布的有关问责的规定，凡与本条例不一致的，按照本条例执行。</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D444D"/>
    <w:rsid w:val="512A3A89"/>
    <w:rsid w:val="612B6BDD"/>
    <w:rsid w:val="7F1220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665C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665C3"/>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2016-12-16T06:52:53Z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